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987BD7" w:rsidRPr="00903CF5" w:rsidRDefault="00987BD7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987BD7" w:rsidRPr="00903CF5" w:rsidRDefault="00B31D29" w:rsidP="00987BD7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  <w:r w:rsidR="00987BD7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 xml:space="preserve"> Nº</w:t>
      </w:r>
      <w:r w:rsidR="00A1007E">
        <w:rPr>
          <w:rFonts w:ascii="Times New Roman" w:hAnsi="Times New Roman" w:cs="Times New Roman"/>
          <w:b/>
          <w:sz w:val="24"/>
          <w:u w:val="single"/>
        </w:rPr>
        <w:t xml:space="preserve">  7547</w:t>
      </w:r>
    </w:p>
    <w:p w:rsidR="00987BD7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987BD7" w:rsidRDefault="00B31D29" w:rsidP="00987BD7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R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D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E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N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A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N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Z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A</w:t>
      </w:r>
    </w:p>
    <w:p w:rsidR="00B31E6D" w:rsidRDefault="00B31E6D" w:rsidP="00987BD7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E6D" w:rsidRPr="009D3AC4" w:rsidRDefault="00B31E6D" w:rsidP="00B31E6D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>Art. 1°)</w:t>
      </w:r>
      <w:r>
        <w:rPr>
          <w:rFonts w:ascii="Times New Roman" w:hAnsi="Times New Roman" w:cs="Times New Roman"/>
          <w:b/>
          <w:bCs/>
          <w:sz w:val="24"/>
          <w:lang w:val="es-ES"/>
        </w:rPr>
        <w:t>.-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  <w:t>MODIFÍ</w:t>
      </w: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CASE  </w:t>
      </w:r>
      <w:r w:rsidRPr="009D3AC4">
        <w:rPr>
          <w:rFonts w:ascii="Times New Roman" w:hAnsi="Times New Roman" w:cs="Times New Roman"/>
          <w:bCs/>
          <w:sz w:val="24"/>
          <w:lang w:val="es-ES"/>
        </w:rPr>
        <w:t>el artículo 4.1.0 de  la Ordenanza Nº 1497 - Reglamento de Urbanizaciones y Subdivisiones, quedando redactado como se transcribe a continuación:</w:t>
      </w:r>
    </w:p>
    <w:p w:rsidR="00B31E6D" w:rsidRPr="009D3AC4" w:rsidRDefault="00B31E6D" w:rsidP="00B31E6D">
      <w:pPr>
        <w:numPr>
          <w:ilvl w:val="0"/>
          <w:numId w:val="1"/>
        </w:numPr>
        <w:spacing w:line="240" w:lineRule="auto"/>
        <w:ind w:left="0" w:firstLine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>Zona Central:</w:t>
      </w:r>
    </w:p>
    <w:p w:rsidR="00B31E6D" w:rsidRPr="009D3AC4" w:rsidRDefault="00B31E6D" w:rsidP="00B31E6D">
      <w:pPr>
        <w:spacing w:line="240" w:lineRule="auto"/>
        <w:ind w:left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9D3AC4">
        <w:rPr>
          <w:rFonts w:ascii="Times New Roman" w:hAnsi="Times New Roman" w:cs="Times New Roman"/>
          <w:bCs/>
          <w:sz w:val="24"/>
          <w:lang w:val="es-ES"/>
        </w:rPr>
        <w:t>Comprende todos los inmuebles frentistas e interiores al perímetro que se define según ANEXO I.</w:t>
      </w:r>
    </w:p>
    <w:p w:rsidR="00B31E6D" w:rsidRPr="009D3AC4" w:rsidRDefault="00B31E6D" w:rsidP="00B31E6D">
      <w:pPr>
        <w:numPr>
          <w:ilvl w:val="0"/>
          <w:numId w:val="1"/>
        </w:numPr>
        <w:spacing w:line="240" w:lineRule="auto"/>
        <w:ind w:left="0" w:firstLine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>Zona Residencial:</w:t>
      </w:r>
    </w:p>
    <w:p w:rsidR="00B31E6D" w:rsidRPr="009D3AC4" w:rsidRDefault="00B31E6D" w:rsidP="00B31E6D">
      <w:pPr>
        <w:spacing w:line="240" w:lineRule="auto"/>
        <w:ind w:left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9D3AC4">
        <w:rPr>
          <w:rFonts w:ascii="Times New Roman" w:hAnsi="Times New Roman" w:cs="Times New Roman"/>
          <w:bCs/>
          <w:sz w:val="24"/>
          <w:lang w:val="es-ES"/>
        </w:rPr>
        <w:t>Con exclusión de los inmuebles correspondientes a la Zona “A", comprende todas las propiedades frentistas e interiores al perímetro que se define en el ANEXO I.</w:t>
      </w:r>
    </w:p>
    <w:p w:rsidR="00B31E6D" w:rsidRPr="009D3AC4" w:rsidRDefault="00B31E6D" w:rsidP="00B31E6D">
      <w:pPr>
        <w:numPr>
          <w:ilvl w:val="0"/>
          <w:numId w:val="1"/>
        </w:numPr>
        <w:spacing w:line="240" w:lineRule="auto"/>
        <w:ind w:left="0" w:firstLine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Zona Semiperiférica: </w:t>
      </w:r>
    </w:p>
    <w:p w:rsidR="00B31E6D" w:rsidRPr="009D3AC4" w:rsidRDefault="00B31E6D" w:rsidP="00B31E6D">
      <w:pPr>
        <w:spacing w:line="240" w:lineRule="auto"/>
        <w:ind w:left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9D3AC4">
        <w:rPr>
          <w:rFonts w:ascii="Times New Roman" w:hAnsi="Times New Roman" w:cs="Times New Roman"/>
          <w:bCs/>
          <w:sz w:val="24"/>
          <w:lang w:val="es-ES"/>
        </w:rPr>
        <w:t>Con exclusión de los inmuebles correspondientes a las Zonas "A" y "B." comprenden todas las propiedades frentistas e interiores al perímetro que se define en el ANEXO I.</w:t>
      </w:r>
    </w:p>
    <w:p w:rsidR="00B31E6D" w:rsidRPr="009D3AC4" w:rsidRDefault="00B31E6D" w:rsidP="00B31E6D">
      <w:pPr>
        <w:numPr>
          <w:ilvl w:val="0"/>
          <w:numId w:val="1"/>
        </w:numPr>
        <w:spacing w:line="240" w:lineRule="auto"/>
        <w:ind w:left="0" w:firstLine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Zona de Barrios Jardines: </w:t>
      </w:r>
    </w:p>
    <w:p w:rsidR="00B31E6D" w:rsidRPr="009D3AC4" w:rsidRDefault="00B31E6D" w:rsidP="00B31E6D">
      <w:pPr>
        <w:spacing w:line="240" w:lineRule="auto"/>
        <w:ind w:left="102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9D3AC4">
        <w:rPr>
          <w:rFonts w:ascii="Times New Roman" w:hAnsi="Times New Roman" w:cs="Times New Roman"/>
          <w:bCs/>
          <w:sz w:val="24"/>
          <w:lang w:val="es-ES"/>
        </w:rPr>
        <w:t>Comprende todos los inmuebles interiores al perímetro definido según ANEXO I.</w:t>
      </w:r>
    </w:p>
    <w:p w:rsidR="00B31E6D" w:rsidRPr="009D3AC4" w:rsidRDefault="00B31E6D" w:rsidP="00B31E6D">
      <w:pPr>
        <w:numPr>
          <w:ilvl w:val="0"/>
          <w:numId w:val="1"/>
        </w:numPr>
        <w:spacing w:line="240" w:lineRule="auto"/>
        <w:ind w:left="0" w:firstLine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Zona de Loteos Industriales: </w:t>
      </w:r>
    </w:p>
    <w:p w:rsidR="00B31E6D" w:rsidRPr="009D3AC4" w:rsidRDefault="00B31E6D" w:rsidP="00B31E6D">
      <w:pPr>
        <w:spacing w:line="240" w:lineRule="auto"/>
        <w:ind w:left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9D3AC4">
        <w:rPr>
          <w:rFonts w:ascii="Times New Roman" w:hAnsi="Times New Roman" w:cs="Times New Roman"/>
          <w:bCs/>
          <w:sz w:val="24"/>
          <w:lang w:val="es-ES"/>
        </w:rPr>
        <w:t>Comprende todos los inmuebles incluidos en el perímetro definido según ANEXO I.</w:t>
      </w:r>
    </w:p>
    <w:p w:rsidR="00B31E6D" w:rsidRPr="009D3AC4" w:rsidRDefault="00B31E6D" w:rsidP="00B31E6D">
      <w:pPr>
        <w:numPr>
          <w:ilvl w:val="0"/>
          <w:numId w:val="1"/>
        </w:numPr>
        <w:spacing w:line="240" w:lineRule="auto"/>
        <w:ind w:left="0" w:firstLine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Zona de Loteos para Industrias Nocivas o Molestas: </w:t>
      </w:r>
    </w:p>
    <w:p w:rsidR="00B31E6D" w:rsidRPr="009D3AC4" w:rsidRDefault="00B31E6D" w:rsidP="00B31E6D">
      <w:pPr>
        <w:spacing w:line="240" w:lineRule="auto"/>
        <w:ind w:firstLine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9D3AC4">
        <w:rPr>
          <w:rFonts w:ascii="Times New Roman" w:hAnsi="Times New Roman" w:cs="Times New Roman"/>
          <w:bCs/>
          <w:sz w:val="24"/>
          <w:lang w:val="es-ES"/>
        </w:rPr>
        <w:t>Comprende los inmuebles incluidos en el perímetro según ANEXO I.</w:t>
      </w:r>
    </w:p>
    <w:p w:rsidR="00B31E6D" w:rsidRPr="009D3AC4" w:rsidRDefault="00B31E6D" w:rsidP="00B31E6D">
      <w:pPr>
        <w:numPr>
          <w:ilvl w:val="0"/>
          <w:numId w:val="1"/>
        </w:numPr>
        <w:spacing w:line="240" w:lineRule="auto"/>
        <w:ind w:left="0" w:firstLine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Zonas de Casas Quintas: </w:t>
      </w:r>
    </w:p>
    <w:p w:rsidR="00B31E6D" w:rsidRPr="009D3AC4" w:rsidRDefault="00B31E6D" w:rsidP="00B31E6D">
      <w:pPr>
        <w:spacing w:line="240" w:lineRule="auto"/>
        <w:ind w:firstLine="964"/>
        <w:jc w:val="both"/>
        <w:rPr>
          <w:rFonts w:ascii="Times New Roman" w:hAnsi="Times New Roman" w:cs="Times New Roman"/>
          <w:bCs/>
          <w:sz w:val="24"/>
          <w:lang w:val="es-ES"/>
        </w:rPr>
      </w:pPr>
      <w:r>
        <w:rPr>
          <w:rFonts w:ascii="Times New Roman" w:hAnsi="Times New Roman" w:cs="Times New Roman"/>
          <w:bCs/>
          <w:sz w:val="24"/>
          <w:lang w:val="es-ES"/>
        </w:rPr>
        <w:t xml:space="preserve">       </w:t>
      </w:r>
      <w:r w:rsidRPr="009D3AC4">
        <w:rPr>
          <w:rFonts w:ascii="Times New Roman" w:hAnsi="Times New Roman" w:cs="Times New Roman"/>
          <w:bCs/>
          <w:sz w:val="24"/>
          <w:lang w:val="es-ES"/>
        </w:rPr>
        <w:t>Comprende los inmuebles incluidos en el perímetro según ANEXO I.</w:t>
      </w:r>
    </w:p>
    <w:p w:rsidR="00B31E6D" w:rsidRPr="009D3AC4" w:rsidRDefault="00B31E6D" w:rsidP="00B31E6D">
      <w:pPr>
        <w:numPr>
          <w:ilvl w:val="0"/>
          <w:numId w:val="1"/>
        </w:numPr>
        <w:spacing w:line="240" w:lineRule="auto"/>
        <w:ind w:left="0" w:firstLine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Zona de Corredores: </w:t>
      </w:r>
    </w:p>
    <w:p w:rsidR="00B31E6D" w:rsidRPr="009D3AC4" w:rsidRDefault="00B31E6D" w:rsidP="00B31E6D">
      <w:pPr>
        <w:spacing w:line="240" w:lineRule="auto"/>
        <w:ind w:left="138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9D3AC4">
        <w:rPr>
          <w:rFonts w:ascii="Times New Roman" w:hAnsi="Times New Roman" w:cs="Times New Roman"/>
          <w:bCs/>
          <w:sz w:val="24"/>
          <w:lang w:val="es-ES"/>
        </w:rPr>
        <w:t xml:space="preserve">Comprende los inmuebles incluidos según el perímetro y medidas que se indican en el ANEXO I y II. </w:t>
      </w:r>
    </w:p>
    <w:p w:rsidR="00B31E6D" w:rsidRPr="009D3AC4" w:rsidRDefault="00B31E6D" w:rsidP="00B31E6D">
      <w:pPr>
        <w:numPr>
          <w:ilvl w:val="0"/>
          <w:numId w:val="1"/>
        </w:numPr>
        <w:spacing w:line="240" w:lineRule="auto"/>
        <w:ind w:left="0" w:firstLine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Zona Country y Barrios Cerrados. </w:t>
      </w:r>
    </w:p>
    <w:p w:rsidR="00B31E6D" w:rsidRDefault="00B31E6D" w:rsidP="00B31E6D">
      <w:pPr>
        <w:spacing w:line="240" w:lineRule="auto"/>
        <w:ind w:firstLine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Pr="009D3AC4">
        <w:rPr>
          <w:rFonts w:ascii="Times New Roman" w:hAnsi="Times New Roman" w:cs="Times New Roman"/>
          <w:bCs/>
          <w:sz w:val="24"/>
          <w:lang w:val="es-ES"/>
        </w:rPr>
        <w:t>Comprende los inmuebles incluidos en el perímetro según ANEXO I.</w:t>
      </w:r>
    </w:p>
    <w:p w:rsidR="00B31E6D" w:rsidRPr="009D3AC4" w:rsidRDefault="00B31E6D" w:rsidP="00B31E6D">
      <w:pPr>
        <w:spacing w:line="240" w:lineRule="auto"/>
        <w:ind w:firstLine="964"/>
        <w:jc w:val="both"/>
        <w:rPr>
          <w:rFonts w:ascii="Times New Roman" w:hAnsi="Times New Roman" w:cs="Times New Roman"/>
          <w:bCs/>
          <w:sz w:val="24"/>
          <w:lang w:val="es-ES"/>
        </w:rPr>
      </w:pPr>
    </w:p>
    <w:p w:rsidR="00B31E6D" w:rsidRPr="009D3AC4" w:rsidRDefault="00B31E6D" w:rsidP="00B31E6D">
      <w:pPr>
        <w:numPr>
          <w:ilvl w:val="0"/>
          <w:numId w:val="1"/>
        </w:numPr>
        <w:spacing w:line="240" w:lineRule="auto"/>
        <w:ind w:left="0" w:firstLine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lastRenderedPageBreak/>
        <w:t xml:space="preserve">Zona Comercial y de Servicios. </w:t>
      </w:r>
    </w:p>
    <w:p w:rsidR="00B31E6D" w:rsidRPr="009D3AC4" w:rsidRDefault="00B31E6D" w:rsidP="00B31E6D">
      <w:pPr>
        <w:spacing w:line="240" w:lineRule="auto"/>
        <w:ind w:left="141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9D3AC4">
        <w:rPr>
          <w:rFonts w:ascii="Times New Roman" w:hAnsi="Times New Roman" w:cs="Times New Roman"/>
          <w:bCs/>
          <w:sz w:val="24"/>
          <w:lang w:val="es-ES"/>
        </w:rPr>
        <w:t xml:space="preserve">Comprende los inmuebles incluidos en el perímetro y medidas que se indican en el ANEXO I y III. </w:t>
      </w:r>
    </w:p>
    <w:p w:rsidR="00B31E6D" w:rsidRPr="009D3AC4" w:rsidRDefault="00B31E6D" w:rsidP="00B31E6D">
      <w:pPr>
        <w:spacing w:line="240" w:lineRule="auto"/>
        <w:ind w:firstLine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K) 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Zona Parque Norte. </w:t>
      </w:r>
    </w:p>
    <w:p w:rsidR="00B31E6D" w:rsidRPr="009D3AC4" w:rsidRDefault="00B31E6D" w:rsidP="00B31E6D">
      <w:pPr>
        <w:spacing w:line="240" w:lineRule="auto"/>
        <w:ind w:left="141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9D3AC4">
        <w:rPr>
          <w:rFonts w:ascii="Times New Roman" w:hAnsi="Times New Roman" w:cs="Times New Roman"/>
          <w:bCs/>
          <w:sz w:val="24"/>
          <w:lang w:val="es-ES"/>
        </w:rPr>
        <w:t xml:space="preserve">Comprende los inmuebles incluidos en el perímetro y medidas que se indican en el ANEXO I. </w:t>
      </w:r>
    </w:p>
    <w:p w:rsidR="00B31E6D" w:rsidRPr="009D3AC4" w:rsidRDefault="00B31E6D" w:rsidP="00B31E6D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</w:p>
    <w:p w:rsidR="00B31E6D" w:rsidRPr="009D3AC4" w:rsidRDefault="00B31E6D" w:rsidP="00B31E6D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>Art. 2°)</w:t>
      </w:r>
      <w:r>
        <w:rPr>
          <w:rFonts w:ascii="Times New Roman" w:hAnsi="Times New Roman" w:cs="Times New Roman"/>
          <w:b/>
          <w:bCs/>
          <w:sz w:val="24"/>
          <w:lang w:val="es-ES"/>
        </w:rPr>
        <w:t>.-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  <w:t>MODIFÍ</w:t>
      </w: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CASE </w:t>
      </w:r>
      <w:r w:rsidRPr="009D3AC4">
        <w:rPr>
          <w:rFonts w:ascii="Times New Roman" w:hAnsi="Times New Roman" w:cs="Times New Roman"/>
          <w:bCs/>
          <w:sz w:val="24"/>
          <w:lang w:val="es-ES"/>
        </w:rPr>
        <w:t>el artículo 4.2.0 de  la Ordenanza Nº 1497 - Reglamento de Urbanizaciones y Subdivisiones, quedando redactado como se transcribe a continuación:</w:t>
      </w:r>
    </w:p>
    <w:p w:rsidR="00B31E6D" w:rsidRPr="009D3AC4" w:rsidRDefault="00B31E6D" w:rsidP="00B31E6D">
      <w:pPr>
        <w:spacing w:line="240" w:lineRule="auto"/>
        <w:ind w:left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>Dimensiones Mínimas:</w:t>
      </w:r>
    </w:p>
    <w:p w:rsidR="00B31E6D" w:rsidRPr="00B31E6D" w:rsidRDefault="00B31E6D" w:rsidP="00B31E6D">
      <w:pPr>
        <w:spacing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9D3AC4">
        <w:rPr>
          <w:rFonts w:ascii="Times New Roman" w:hAnsi="Times New Roman" w:cs="Times New Roman"/>
          <w:bCs/>
          <w:sz w:val="24"/>
          <w:lang w:val="es-ES"/>
        </w:rPr>
        <w:t xml:space="preserve">             </w:t>
      </w:r>
      <w:r>
        <w:rPr>
          <w:rFonts w:ascii="Times New Roman" w:hAnsi="Times New Roman" w:cs="Times New Roman"/>
          <w:bCs/>
          <w:sz w:val="24"/>
          <w:lang w:val="es-ES"/>
        </w:rPr>
        <w:tab/>
      </w:r>
      <w:r w:rsidRPr="009D3AC4">
        <w:rPr>
          <w:rFonts w:ascii="Times New Roman" w:hAnsi="Times New Roman" w:cs="Times New Roman"/>
          <w:bCs/>
          <w:sz w:val="24"/>
          <w:lang w:val="es-ES"/>
        </w:rPr>
        <w:t>En las zonas previstas en el apartado anterior los loteos o subdivisiones tendrán respectivamente las siguientes medidas o características (cada lote)</w:t>
      </w:r>
    </w:p>
    <w:p w:rsidR="00B31E6D" w:rsidRPr="009D3AC4" w:rsidRDefault="00B31E6D" w:rsidP="00B31E6D">
      <w:pPr>
        <w:spacing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Zona A): </w:t>
      </w:r>
      <w:r w:rsidRPr="009D3AC4">
        <w:rPr>
          <w:rFonts w:ascii="Times New Roman" w:hAnsi="Times New Roman" w:cs="Times New Roman"/>
          <w:bCs/>
          <w:sz w:val="24"/>
          <w:lang w:val="es-ES"/>
        </w:rPr>
        <w:t>Frente mínimo 8 metros, superficie mínima 160mts2.</w:t>
      </w:r>
    </w:p>
    <w:p w:rsidR="00B31E6D" w:rsidRPr="009D3AC4" w:rsidRDefault="00B31E6D" w:rsidP="00B31E6D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Zona B): </w:t>
      </w:r>
      <w:r w:rsidRPr="009D3AC4">
        <w:rPr>
          <w:rFonts w:ascii="Times New Roman" w:hAnsi="Times New Roman" w:cs="Times New Roman"/>
          <w:bCs/>
          <w:sz w:val="24"/>
          <w:lang w:val="es-ES"/>
        </w:rPr>
        <w:t>Frente mínimo 8,60 metros, superficie mínima 200mts.2.</w:t>
      </w: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</w:p>
    <w:p w:rsidR="00B31E6D" w:rsidRPr="009D3AC4" w:rsidRDefault="00B31E6D" w:rsidP="00B31E6D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Zona C): </w:t>
      </w:r>
      <w:r w:rsidRPr="009D3AC4">
        <w:rPr>
          <w:rFonts w:ascii="Times New Roman" w:hAnsi="Times New Roman" w:cs="Times New Roman"/>
          <w:bCs/>
          <w:sz w:val="24"/>
          <w:lang w:val="es-ES"/>
        </w:rPr>
        <w:t>Frente mínimo 10 metros, superficie mínima 250 mts.2.</w:t>
      </w:r>
    </w:p>
    <w:p w:rsidR="00B31E6D" w:rsidRPr="009D3AC4" w:rsidRDefault="00B31E6D" w:rsidP="00B31E6D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     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Zona D): </w:t>
      </w:r>
      <w:r w:rsidRPr="009D3AC4">
        <w:rPr>
          <w:rFonts w:ascii="Times New Roman" w:hAnsi="Times New Roman" w:cs="Times New Roman"/>
          <w:bCs/>
          <w:sz w:val="24"/>
          <w:lang w:val="es-ES"/>
        </w:rPr>
        <w:t>Frente mínimo 12 metros, superficie mínima 300 mts2.</w:t>
      </w: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</w:p>
    <w:p w:rsidR="00B31E6D" w:rsidRPr="009D3AC4" w:rsidRDefault="00B31E6D" w:rsidP="00B31E6D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     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Zona E): </w:t>
      </w:r>
      <w:r w:rsidRPr="009D3AC4">
        <w:rPr>
          <w:rFonts w:ascii="Times New Roman" w:hAnsi="Times New Roman" w:cs="Times New Roman"/>
          <w:bCs/>
          <w:sz w:val="24"/>
          <w:lang w:val="es-ES"/>
        </w:rPr>
        <w:t>Frente mínimo 25 metros, superficie mínima 1250mts2.</w:t>
      </w: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</w:p>
    <w:p w:rsidR="00B31E6D" w:rsidRPr="009D3AC4" w:rsidRDefault="00B31E6D" w:rsidP="00B31E6D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     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Zona F): </w:t>
      </w:r>
      <w:r w:rsidRPr="009D3AC4">
        <w:rPr>
          <w:rFonts w:ascii="Times New Roman" w:hAnsi="Times New Roman" w:cs="Times New Roman"/>
          <w:bCs/>
          <w:sz w:val="24"/>
          <w:lang w:val="es-ES"/>
        </w:rPr>
        <w:t>Superficie mínima 2.500 mts.2.</w:t>
      </w: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</w:p>
    <w:p w:rsidR="00B31E6D" w:rsidRPr="009D3AC4" w:rsidRDefault="00B31E6D" w:rsidP="00B31E6D">
      <w:pPr>
        <w:spacing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Zona G): </w:t>
      </w:r>
      <w:r w:rsidRPr="009D3AC4">
        <w:rPr>
          <w:rFonts w:ascii="Times New Roman" w:hAnsi="Times New Roman" w:cs="Times New Roman"/>
          <w:bCs/>
          <w:sz w:val="24"/>
          <w:lang w:val="es-ES"/>
        </w:rPr>
        <w:t>Frente mínimo 40 metros, superficie mínima 2.400 mts.2.</w:t>
      </w:r>
    </w:p>
    <w:p w:rsidR="00B31E6D" w:rsidRPr="009D3AC4" w:rsidRDefault="00B31E6D" w:rsidP="00B31E6D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Zona H): </w:t>
      </w:r>
      <w:r w:rsidRPr="009D3AC4">
        <w:rPr>
          <w:rFonts w:ascii="Times New Roman" w:hAnsi="Times New Roman" w:cs="Times New Roman"/>
          <w:bCs/>
          <w:sz w:val="24"/>
          <w:lang w:val="es-ES"/>
        </w:rPr>
        <w:t>Frente mínimo 15 metros, superficie mínima 500mts.2.</w:t>
      </w:r>
    </w:p>
    <w:p w:rsidR="00B31E6D" w:rsidRPr="009D3AC4" w:rsidRDefault="00B31E6D" w:rsidP="00B31E6D">
      <w:pPr>
        <w:spacing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            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Pr="009D3AC4">
        <w:rPr>
          <w:rFonts w:ascii="Times New Roman" w:hAnsi="Times New Roman" w:cs="Times New Roman"/>
          <w:bCs/>
          <w:sz w:val="24"/>
          <w:lang w:val="es-ES"/>
        </w:rPr>
        <w:t>En esta zona deberá proyectarse una calle colectora sobre Avenida Caseros según Anexo IV.</w:t>
      </w:r>
    </w:p>
    <w:p w:rsidR="00B31E6D" w:rsidRPr="009D3AC4" w:rsidRDefault="00B31E6D" w:rsidP="00B31E6D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Zona I): </w:t>
      </w:r>
      <w:r w:rsidRPr="009D3AC4">
        <w:rPr>
          <w:rFonts w:ascii="Times New Roman" w:hAnsi="Times New Roman" w:cs="Times New Roman"/>
          <w:bCs/>
          <w:sz w:val="24"/>
          <w:lang w:val="es-ES"/>
        </w:rPr>
        <w:t>Según Ordenanza Nº 4711 y sus modificatorias.</w:t>
      </w:r>
    </w:p>
    <w:p w:rsidR="00B31E6D" w:rsidRPr="009D3AC4" w:rsidRDefault="00B31E6D" w:rsidP="00B31E6D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     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Zona J): </w:t>
      </w:r>
      <w:r w:rsidRPr="009D3AC4">
        <w:rPr>
          <w:rFonts w:ascii="Times New Roman" w:hAnsi="Times New Roman" w:cs="Times New Roman"/>
          <w:bCs/>
          <w:sz w:val="24"/>
          <w:lang w:val="es-ES"/>
        </w:rPr>
        <w:t>Frente mínimo 20 metros, superficie mínima 1000mts.2.</w:t>
      </w:r>
    </w:p>
    <w:p w:rsidR="00B31E6D" w:rsidRPr="009D3AC4" w:rsidRDefault="00B31E6D" w:rsidP="00B31E6D">
      <w:pPr>
        <w:spacing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            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Pr="009D3AC4">
        <w:rPr>
          <w:rFonts w:ascii="Times New Roman" w:hAnsi="Times New Roman" w:cs="Times New Roman"/>
          <w:bCs/>
          <w:sz w:val="24"/>
          <w:lang w:val="es-ES"/>
        </w:rPr>
        <w:t>En esta zona deberá proyectarse una calle colectora sobre Ruta Nacional Nº158 y Avenida Cervantes de 19.00m de ancho, según Anexo V.</w:t>
      </w:r>
    </w:p>
    <w:p w:rsidR="00B31E6D" w:rsidRDefault="00B31E6D" w:rsidP="00A1007E">
      <w:pPr>
        <w:spacing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Pr="009D3AC4">
        <w:rPr>
          <w:rFonts w:ascii="Times New Roman" w:hAnsi="Times New Roman" w:cs="Times New Roman"/>
          <w:b/>
          <w:bCs/>
          <w:sz w:val="24"/>
          <w:lang w:val="es-ES"/>
        </w:rPr>
        <w:t xml:space="preserve">Zona K): </w:t>
      </w:r>
      <w:r w:rsidRPr="009D3AC4">
        <w:rPr>
          <w:rFonts w:ascii="Times New Roman" w:hAnsi="Times New Roman" w:cs="Times New Roman"/>
          <w:bCs/>
          <w:sz w:val="24"/>
          <w:lang w:val="es-ES"/>
        </w:rPr>
        <w:t>Frente mínimo 12 metros, superficie mínima 350mts.2.</w:t>
      </w:r>
    </w:p>
    <w:p w:rsidR="00A1007E" w:rsidRPr="00B31E6D" w:rsidRDefault="00A1007E" w:rsidP="00A1007E">
      <w:pPr>
        <w:spacing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</w:p>
    <w:p w:rsidR="00B31D29" w:rsidRPr="00B85F78" w:rsidRDefault="00987BD7" w:rsidP="00B31E6D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AE72C2">
        <w:rPr>
          <w:rFonts w:ascii="Times New Roman" w:hAnsi="Times New Roman" w:cs="Times New Roman"/>
          <w:b/>
          <w:sz w:val="24"/>
        </w:rPr>
        <w:t>Art.</w:t>
      </w:r>
      <w:r w:rsidR="00A50524">
        <w:rPr>
          <w:rFonts w:ascii="Times New Roman" w:hAnsi="Times New Roman" w:cs="Times New Roman"/>
          <w:b/>
          <w:sz w:val="24"/>
        </w:rPr>
        <w:t>3</w:t>
      </w:r>
      <w:r w:rsidR="00B31D29" w:rsidRPr="00AE72C2">
        <w:rPr>
          <w:rFonts w:ascii="Times New Roman" w:hAnsi="Times New Roman" w:cs="Times New Roman"/>
          <w:b/>
          <w:sz w:val="24"/>
        </w:rPr>
        <w:t>º)</w:t>
      </w:r>
      <w:r w:rsidR="00B85F78" w:rsidRPr="00AE72C2">
        <w:rPr>
          <w:rFonts w:ascii="Times New Roman" w:hAnsi="Times New Roman" w:cs="Times New Roman"/>
          <w:b/>
          <w:sz w:val="24"/>
        </w:rPr>
        <w:t>.-</w:t>
      </w:r>
      <w:r w:rsidR="00BC06B0" w:rsidRPr="00AE72C2">
        <w:rPr>
          <w:rFonts w:ascii="Times New Roman" w:hAnsi="Times New Roman" w:cs="Times New Roman"/>
          <w:b/>
          <w:sz w:val="24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B31D29" w:rsidRDefault="00B31D29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 xml:space="preserve">Dada en la Sala de Sesiones del Honorable Concejo Deliberante de la </w:t>
      </w:r>
      <w:r w:rsidR="00987BD7">
        <w:rPr>
          <w:rFonts w:ascii="Times New Roman" w:hAnsi="Times New Roman" w:cs="Times New Roman"/>
          <w:sz w:val="24"/>
        </w:rPr>
        <w:t>ciu</w:t>
      </w:r>
      <w:r w:rsidR="00EC4DA1">
        <w:rPr>
          <w:rFonts w:ascii="Times New Roman" w:hAnsi="Times New Roman" w:cs="Times New Roman"/>
          <w:sz w:val="24"/>
        </w:rPr>
        <w:t>dad de San Francisco, a los veintidós</w:t>
      </w:r>
      <w:r w:rsidRPr="00B85F78">
        <w:rPr>
          <w:rFonts w:ascii="Times New Roman" w:hAnsi="Times New Roman" w:cs="Times New Roman"/>
          <w:sz w:val="24"/>
        </w:rPr>
        <w:t xml:space="preserve"> días d</w:t>
      </w:r>
      <w:r w:rsidR="00EC4DA1">
        <w:rPr>
          <w:rFonts w:ascii="Times New Roman" w:hAnsi="Times New Roman" w:cs="Times New Roman"/>
          <w:sz w:val="24"/>
        </w:rPr>
        <w:t>el mes de dic</w:t>
      </w:r>
      <w:r w:rsidR="00987BD7">
        <w:rPr>
          <w:rFonts w:ascii="Times New Roman" w:hAnsi="Times New Roman" w:cs="Times New Roman"/>
          <w:sz w:val="24"/>
        </w:rPr>
        <w:t>iembre del año dos mil veintidós</w:t>
      </w:r>
      <w:r w:rsidRPr="00B85F78">
        <w:rPr>
          <w:rFonts w:ascii="Times New Roman" w:hAnsi="Times New Roman" w:cs="Times New Roman"/>
          <w:sz w:val="24"/>
        </w:rPr>
        <w:t>.-</w:t>
      </w:r>
    </w:p>
    <w:p w:rsidR="00BC06B0" w:rsidRDefault="00BC06B0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BC06B0" w:rsidRPr="00130EBA" w:rsidTr="006E7BC5">
        <w:trPr>
          <w:trHeight w:val="366"/>
        </w:trPr>
        <w:tc>
          <w:tcPr>
            <w:tcW w:w="4490" w:type="dxa"/>
            <w:shd w:val="clear" w:color="auto" w:fill="auto"/>
          </w:tcPr>
          <w:p w:rsidR="00BC06B0" w:rsidRPr="00BC06B0" w:rsidRDefault="00BC06B0" w:rsidP="00BC06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B0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BC06B0" w:rsidRPr="00BC06B0" w:rsidRDefault="00BC06B0" w:rsidP="00BC06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B0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shd w:val="clear" w:color="auto" w:fill="auto"/>
          </w:tcPr>
          <w:p w:rsidR="00BC06B0" w:rsidRPr="00BC06B0" w:rsidRDefault="00BC06B0" w:rsidP="00BC06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B0">
              <w:rPr>
                <w:rFonts w:ascii="Times New Roman" w:hAnsi="Times New Roman" w:cs="Times New Roman"/>
                <w:b/>
                <w:sz w:val="24"/>
                <w:szCs w:val="24"/>
              </w:rPr>
              <w:t>Dr. Gustavo J. Klein</w:t>
            </w:r>
          </w:p>
          <w:p w:rsidR="00BC06B0" w:rsidRPr="00BC06B0" w:rsidRDefault="00BC06B0" w:rsidP="00BC06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B0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B31D29" w:rsidRPr="00B85F78" w:rsidRDefault="00B31D29" w:rsidP="00B31E6D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B31D29" w:rsidRPr="00B85F78" w:rsidRDefault="005002AC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5002AC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8286661"/>
            <wp:effectExtent l="0" t="0" r="7620" b="635"/>
            <wp:docPr id="1" name="Imagen 1" descr="D:\usuario\Downloads\ANEXO I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ownloads\ANEXO I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8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B0" w:rsidRDefault="00B31D29" w:rsidP="00987BD7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 xml:space="preserve">    </w:t>
      </w:r>
      <w:r w:rsidR="00B85F78">
        <w:rPr>
          <w:rFonts w:ascii="Times New Roman" w:hAnsi="Times New Roman" w:cs="Times New Roman"/>
          <w:sz w:val="24"/>
        </w:rPr>
        <w:t xml:space="preserve">   </w:t>
      </w:r>
    </w:p>
    <w:p w:rsidR="005002AC" w:rsidRDefault="005002A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002AC" w:rsidRDefault="005002AC" w:rsidP="00987BD7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5002AC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243508"/>
            <wp:effectExtent l="0" t="0" r="7620" b="0"/>
            <wp:docPr id="2" name="Imagen 2" descr="D:\usuario\Downloads\ANEXO II._._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ownloads\ANEXO II._._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2AC" w:rsidRDefault="005002A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002AC" w:rsidRDefault="005002AC" w:rsidP="00987BD7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5002AC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243508"/>
            <wp:effectExtent l="0" t="0" r="7620" b="0"/>
            <wp:docPr id="3" name="Imagen 3" descr="D:\usuario\Downloads\ANEXO III._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\Downloads\ANEXO III._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2AC" w:rsidRDefault="005002A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002AC" w:rsidRDefault="005002AC" w:rsidP="00987BD7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bookmarkStart w:id="0" w:name="_GoBack"/>
      <w:r w:rsidRPr="005002AC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243508"/>
            <wp:effectExtent l="0" t="0" r="7620" b="0"/>
            <wp:docPr id="4" name="Imagen 4" descr="D:\usuario\Downloads\ANEXO IV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uario\Downloads\ANEXO IV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02AC" w:rsidRDefault="005002A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002AC" w:rsidRDefault="005002AC" w:rsidP="00987BD7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5002AC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243508"/>
            <wp:effectExtent l="0" t="0" r="7620" b="0"/>
            <wp:docPr id="5" name="Imagen 5" descr="D:\usuario\Downloads\ANEXO V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\Downloads\ANEXO V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29" w:rsidRPr="00B85F78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sectPr w:rsidR="00B31D29" w:rsidRPr="00B85F78" w:rsidSect="00DC5064">
      <w:footerReference w:type="default" r:id="rId12"/>
      <w:pgSz w:w="12240" w:h="20160" w:code="5"/>
      <w:pgMar w:top="3289" w:right="1304" w:bottom="147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315" w:rsidRDefault="006B4315" w:rsidP="00B31E6D">
      <w:pPr>
        <w:spacing w:after="0" w:line="240" w:lineRule="auto"/>
      </w:pPr>
      <w:r>
        <w:separator/>
      </w:r>
    </w:p>
  </w:endnote>
  <w:endnote w:type="continuationSeparator" w:id="0">
    <w:p w:rsidR="006B4315" w:rsidRDefault="006B4315" w:rsidP="00B31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0975889"/>
      <w:docPartObj>
        <w:docPartGallery w:val="Page Numbers (Bottom of Page)"/>
        <w:docPartUnique/>
      </w:docPartObj>
    </w:sdtPr>
    <w:sdtEndPr/>
    <w:sdtContent>
      <w:p w:rsidR="00B31E6D" w:rsidRDefault="00B31E6D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02AC" w:rsidRPr="005002AC">
          <w:rPr>
            <w:noProof/>
            <w:lang w:val="es-ES"/>
          </w:rPr>
          <w:t>7</w:t>
        </w:r>
        <w:r>
          <w:fldChar w:fldCharType="end"/>
        </w:r>
      </w:p>
    </w:sdtContent>
  </w:sdt>
  <w:p w:rsidR="00B31E6D" w:rsidRDefault="00B31E6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315" w:rsidRDefault="006B4315" w:rsidP="00B31E6D">
      <w:pPr>
        <w:spacing w:after="0" w:line="240" w:lineRule="auto"/>
      </w:pPr>
      <w:r>
        <w:separator/>
      </w:r>
    </w:p>
  </w:footnote>
  <w:footnote w:type="continuationSeparator" w:id="0">
    <w:p w:rsidR="006B4315" w:rsidRDefault="006B4315" w:rsidP="00B31E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D84F30"/>
    <w:multiLevelType w:val="hybridMultilevel"/>
    <w:tmpl w:val="3BC20ACA"/>
    <w:lvl w:ilvl="0" w:tplc="58924F02">
      <w:start w:val="1"/>
      <w:numFmt w:val="upperLetter"/>
      <w:lvlText w:val="%1)"/>
      <w:lvlJc w:val="left"/>
      <w:pPr>
        <w:ind w:left="3976" w:hanging="360"/>
      </w:pPr>
      <w:rPr>
        <w:rFonts w:hint="default"/>
        <w:b/>
      </w:rPr>
    </w:lvl>
    <w:lvl w:ilvl="1" w:tplc="2C0A0019">
      <w:start w:val="1"/>
      <w:numFmt w:val="lowerLetter"/>
      <w:lvlText w:val="%2."/>
      <w:lvlJc w:val="left"/>
      <w:pPr>
        <w:ind w:left="4772" w:hanging="360"/>
      </w:pPr>
    </w:lvl>
    <w:lvl w:ilvl="2" w:tplc="2C0A001B" w:tentative="1">
      <w:start w:val="1"/>
      <w:numFmt w:val="lowerRoman"/>
      <w:lvlText w:val="%3."/>
      <w:lvlJc w:val="right"/>
      <w:pPr>
        <w:ind w:left="5492" w:hanging="180"/>
      </w:pPr>
    </w:lvl>
    <w:lvl w:ilvl="3" w:tplc="2C0A000F" w:tentative="1">
      <w:start w:val="1"/>
      <w:numFmt w:val="decimal"/>
      <w:lvlText w:val="%4."/>
      <w:lvlJc w:val="left"/>
      <w:pPr>
        <w:ind w:left="6212" w:hanging="360"/>
      </w:pPr>
    </w:lvl>
    <w:lvl w:ilvl="4" w:tplc="2C0A0019" w:tentative="1">
      <w:start w:val="1"/>
      <w:numFmt w:val="lowerLetter"/>
      <w:lvlText w:val="%5."/>
      <w:lvlJc w:val="left"/>
      <w:pPr>
        <w:ind w:left="6932" w:hanging="360"/>
      </w:pPr>
    </w:lvl>
    <w:lvl w:ilvl="5" w:tplc="2C0A001B" w:tentative="1">
      <w:start w:val="1"/>
      <w:numFmt w:val="lowerRoman"/>
      <w:lvlText w:val="%6."/>
      <w:lvlJc w:val="right"/>
      <w:pPr>
        <w:ind w:left="7652" w:hanging="180"/>
      </w:pPr>
    </w:lvl>
    <w:lvl w:ilvl="6" w:tplc="2C0A000F" w:tentative="1">
      <w:start w:val="1"/>
      <w:numFmt w:val="decimal"/>
      <w:lvlText w:val="%7."/>
      <w:lvlJc w:val="left"/>
      <w:pPr>
        <w:ind w:left="8372" w:hanging="360"/>
      </w:pPr>
    </w:lvl>
    <w:lvl w:ilvl="7" w:tplc="2C0A0019" w:tentative="1">
      <w:start w:val="1"/>
      <w:numFmt w:val="lowerLetter"/>
      <w:lvlText w:val="%8."/>
      <w:lvlJc w:val="left"/>
      <w:pPr>
        <w:ind w:left="9092" w:hanging="360"/>
      </w:pPr>
    </w:lvl>
    <w:lvl w:ilvl="8" w:tplc="2C0A001B" w:tentative="1">
      <w:start w:val="1"/>
      <w:numFmt w:val="lowerRoman"/>
      <w:lvlText w:val="%9."/>
      <w:lvlJc w:val="right"/>
      <w:pPr>
        <w:ind w:left="981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107002"/>
    <w:rsid w:val="003F3D5E"/>
    <w:rsid w:val="005002AC"/>
    <w:rsid w:val="00624462"/>
    <w:rsid w:val="006B4315"/>
    <w:rsid w:val="00701331"/>
    <w:rsid w:val="0076651A"/>
    <w:rsid w:val="0077719D"/>
    <w:rsid w:val="00903CF5"/>
    <w:rsid w:val="00966F91"/>
    <w:rsid w:val="00987BD7"/>
    <w:rsid w:val="00A1007E"/>
    <w:rsid w:val="00A44A0C"/>
    <w:rsid w:val="00A50524"/>
    <w:rsid w:val="00AE72C2"/>
    <w:rsid w:val="00B31D29"/>
    <w:rsid w:val="00B31E6D"/>
    <w:rsid w:val="00B61E75"/>
    <w:rsid w:val="00B85F78"/>
    <w:rsid w:val="00BC06B0"/>
    <w:rsid w:val="00BF14B2"/>
    <w:rsid w:val="00CF23FE"/>
    <w:rsid w:val="00DC5064"/>
    <w:rsid w:val="00E06EF4"/>
    <w:rsid w:val="00EC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DEB10E-F162-4A34-A8EA-488029BD0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72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72C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A505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B31E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1E6D"/>
  </w:style>
  <w:style w:type="paragraph" w:styleId="Piedepgina">
    <w:name w:val="footer"/>
    <w:basedOn w:val="Normal"/>
    <w:link w:val="PiedepginaCar"/>
    <w:uiPriority w:val="99"/>
    <w:unhideWhenUsed/>
    <w:rsid w:val="00B31E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1E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521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2022-12-26T09:58:00Z</cp:lastPrinted>
  <dcterms:created xsi:type="dcterms:W3CDTF">2022-12-26T09:56:00Z</dcterms:created>
  <dcterms:modified xsi:type="dcterms:W3CDTF">2022-12-26T12:23:00Z</dcterms:modified>
</cp:coreProperties>
</file>